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B0" w:rsidRDefault="00B67AB0" w:rsidP="00B67AB0">
      <w:pPr>
        <w:widowControl w:val="0"/>
        <w:autoSpaceDE w:val="0"/>
        <w:autoSpaceDN w:val="0"/>
        <w:adjustRightInd w:val="0"/>
        <w:jc w:val="center"/>
        <w:rPr>
          <w:rFonts w:ascii="Helvetica" w:hAnsi="Helvetica" w:cs="Helvetica"/>
          <w:color w:val="262626"/>
        </w:rPr>
      </w:pPr>
      <w:bookmarkStart w:id="0" w:name="_GoBack"/>
      <w:r>
        <w:rPr>
          <w:rFonts w:ascii="Helvetica" w:hAnsi="Helvetica" w:cs="Helvetica"/>
          <w:b/>
          <w:bCs/>
          <w:color w:val="262626"/>
        </w:rPr>
        <w:t>Fertility and Sterility</w:t>
      </w:r>
    </w:p>
    <w:bookmarkEnd w:id="0"/>
    <w:p w:rsidR="00B67AB0" w:rsidRDefault="00B67AB0" w:rsidP="00B67AB0">
      <w:pPr>
        <w:widowControl w:val="0"/>
        <w:autoSpaceDE w:val="0"/>
        <w:autoSpaceDN w:val="0"/>
        <w:adjustRightInd w:val="0"/>
        <w:jc w:val="center"/>
        <w:rPr>
          <w:rFonts w:ascii="Helvetica" w:hAnsi="Helvetica" w:cs="Helvetica"/>
          <w:color w:val="262626"/>
        </w:rPr>
      </w:pPr>
      <w:r>
        <w:rPr>
          <w:rFonts w:ascii="Helvetica" w:hAnsi="Helvetica" w:cs="Helvetica"/>
          <w:color w:val="262626"/>
        </w:rPr>
        <w:fldChar w:fldCharType="begin"/>
      </w:r>
      <w:r>
        <w:rPr>
          <w:rFonts w:ascii="Helvetica" w:hAnsi="Helvetica" w:cs="Helvetica"/>
          <w:color w:val="262626"/>
        </w:rPr>
        <w:instrText>HYPERLINK "http://www.fertstert.org/issues?issue_key=S0015-0282(11)X0011-0"</w:instrText>
      </w:r>
      <w:r>
        <w:rPr>
          <w:rFonts w:ascii="Helvetica" w:hAnsi="Helvetica" w:cs="Helvetica"/>
          <w:color w:val="262626"/>
        </w:rPr>
      </w:r>
      <w:r>
        <w:rPr>
          <w:rFonts w:ascii="Helvetica" w:hAnsi="Helvetica" w:cs="Helvetica"/>
          <w:color w:val="262626"/>
        </w:rPr>
        <w:fldChar w:fldCharType="separate"/>
      </w:r>
      <w:r>
        <w:rPr>
          <w:rFonts w:ascii="Helvetica" w:hAnsi="Helvetica" w:cs="Helvetica"/>
          <w:color w:val="2C5484"/>
          <w:u w:val="single" w:color="2C5484"/>
        </w:rPr>
        <w:t>Volume 96, Issue 3, Supplement</w:t>
      </w:r>
      <w:r>
        <w:rPr>
          <w:rFonts w:ascii="Helvetica" w:hAnsi="Helvetica" w:cs="Helvetica"/>
          <w:color w:val="262626"/>
        </w:rPr>
        <w:fldChar w:fldCharType="end"/>
      </w:r>
      <w:proofErr w:type="gramStart"/>
      <w:r>
        <w:rPr>
          <w:rFonts w:ascii="Helvetica" w:hAnsi="Helvetica" w:cs="Helvetica"/>
          <w:color w:val="262626"/>
        </w:rPr>
        <w:t xml:space="preserve"> ,</w:t>
      </w:r>
      <w:proofErr w:type="gramEnd"/>
      <w:r>
        <w:rPr>
          <w:rFonts w:ascii="Helvetica" w:hAnsi="Helvetica" w:cs="Helvetica"/>
          <w:color w:val="262626"/>
        </w:rPr>
        <w:t xml:space="preserve"> Pages S5-S6, September 2011</w:t>
      </w:r>
    </w:p>
    <w:p w:rsidR="00B67AB0" w:rsidRDefault="00B67AB0" w:rsidP="00B67AB0">
      <w:pPr>
        <w:widowControl w:val="0"/>
        <w:autoSpaceDE w:val="0"/>
        <w:autoSpaceDN w:val="0"/>
        <w:adjustRightInd w:val="0"/>
        <w:spacing w:after="200"/>
        <w:rPr>
          <w:rFonts w:ascii="Helvetica" w:hAnsi="Helvetica" w:cs="Helvetica"/>
          <w:b/>
          <w:bCs/>
          <w:color w:val="262626"/>
          <w:sz w:val="48"/>
          <w:szCs w:val="48"/>
        </w:rPr>
      </w:pPr>
    </w:p>
    <w:p w:rsidR="00B67AB0" w:rsidRDefault="00B67AB0" w:rsidP="00B67AB0">
      <w:pPr>
        <w:widowControl w:val="0"/>
        <w:autoSpaceDE w:val="0"/>
        <w:autoSpaceDN w:val="0"/>
        <w:adjustRightInd w:val="0"/>
        <w:spacing w:after="200"/>
        <w:rPr>
          <w:rFonts w:ascii="Helvetica" w:hAnsi="Helvetica" w:cs="Helvetica"/>
          <w:b/>
          <w:bCs/>
          <w:color w:val="262626"/>
          <w:sz w:val="48"/>
          <w:szCs w:val="48"/>
        </w:rPr>
      </w:pPr>
      <w:proofErr w:type="spellStart"/>
      <w:r>
        <w:rPr>
          <w:rFonts w:ascii="Helvetica" w:hAnsi="Helvetica" w:cs="Helvetica"/>
          <w:b/>
          <w:bCs/>
          <w:color w:val="262626"/>
          <w:sz w:val="48"/>
          <w:szCs w:val="48"/>
        </w:rPr>
        <w:t>Bisphenol</w:t>
      </w:r>
      <w:proofErr w:type="spellEnd"/>
      <w:r>
        <w:rPr>
          <w:rFonts w:ascii="Helvetica" w:hAnsi="Helvetica" w:cs="Helvetica"/>
          <w:b/>
          <w:bCs/>
          <w:color w:val="262626"/>
          <w:sz w:val="48"/>
          <w:szCs w:val="48"/>
        </w:rPr>
        <w:t xml:space="preserve"> A (BPA) confers direct </w:t>
      </w:r>
      <w:proofErr w:type="spellStart"/>
      <w:r>
        <w:rPr>
          <w:rFonts w:ascii="Helvetica" w:hAnsi="Helvetica" w:cs="Helvetica"/>
          <w:b/>
          <w:bCs/>
          <w:color w:val="262626"/>
          <w:sz w:val="48"/>
          <w:szCs w:val="48"/>
        </w:rPr>
        <w:t>genotoxicity</w:t>
      </w:r>
      <w:proofErr w:type="spellEnd"/>
      <w:r>
        <w:rPr>
          <w:rFonts w:ascii="Helvetica" w:hAnsi="Helvetica" w:cs="Helvetica"/>
          <w:b/>
          <w:bCs/>
          <w:color w:val="262626"/>
          <w:sz w:val="48"/>
          <w:szCs w:val="48"/>
        </w:rPr>
        <w:t xml:space="preserve"> to sperm with increased sperm DNA fragmentation</w:t>
      </w:r>
    </w:p>
    <w:p w:rsidR="00B67AB0" w:rsidRDefault="00B67AB0" w:rsidP="00B67AB0">
      <w:pPr>
        <w:widowControl w:val="0"/>
        <w:numPr>
          <w:ilvl w:val="0"/>
          <w:numId w:val="1"/>
        </w:numPr>
        <w:tabs>
          <w:tab w:val="left" w:pos="220"/>
          <w:tab w:val="left" w:pos="720"/>
        </w:tabs>
        <w:autoSpaceDE w:val="0"/>
        <w:autoSpaceDN w:val="0"/>
        <w:adjustRightInd w:val="0"/>
        <w:ind w:hanging="720"/>
        <w:rPr>
          <w:rFonts w:ascii="Helvetica" w:hAnsi="Helvetica" w:cs="Helvetica"/>
          <w:color w:val="878787"/>
          <w:sz w:val="22"/>
          <w:szCs w:val="22"/>
          <w:u w:color="2C5484"/>
        </w:rPr>
      </w:pPr>
      <w:r>
        <w:rPr>
          <w:rFonts w:ascii="Helvetica" w:hAnsi="Helvetica" w:cs="Helvetica"/>
          <w:color w:val="2C5484"/>
          <w:sz w:val="22"/>
          <w:szCs w:val="22"/>
          <w:u w:val="single"/>
        </w:rPr>
        <w:t>D.H. Wu</w:t>
      </w:r>
      <w:r>
        <w:rPr>
          <w:rFonts w:ascii="Helvetica" w:hAnsi="Helvetica" w:cs="Helvetica"/>
          <w:color w:val="878787"/>
          <w:sz w:val="22"/>
          <w:szCs w:val="22"/>
        </w:rPr>
        <w:t xml:space="preserve">, </w:t>
      </w:r>
      <w:r>
        <w:rPr>
          <w:rFonts w:ascii="Helvetica" w:hAnsi="Helvetica" w:cs="Helvetica"/>
          <w:color w:val="2C5484"/>
          <w:sz w:val="22"/>
          <w:szCs w:val="22"/>
          <w:u w:val="single" w:color="2C5484"/>
        </w:rPr>
        <w:t>Y</w:t>
      </w:r>
      <w:proofErr w:type="gramStart"/>
      <w:r>
        <w:rPr>
          <w:rFonts w:ascii="Helvetica" w:hAnsi="Helvetica" w:cs="Helvetica"/>
          <w:color w:val="2C5484"/>
          <w:sz w:val="22"/>
          <w:szCs w:val="22"/>
          <w:u w:val="single" w:color="2C5484"/>
        </w:rPr>
        <w:t>.-</w:t>
      </w:r>
      <w:proofErr w:type="gramEnd"/>
      <w:r>
        <w:rPr>
          <w:rFonts w:ascii="Helvetica" w:hAnsi="Helvetica" w:cs="Helvetica"/>
          <w:color w:val="2C5484"/>
          <w:sz w:val="22"/>
          <w:szCs w:val="22"/>
          <w:u w:val="single" w:color="2C5484"/>
        </w:rPr>
        <w:t>K. Leung</w:t>
      </w:r>
      <w:r>
        <w:rPr>
          <w:rFonts w:ascii="Helvetica" w:hAnsi="Helvetica" w:cs="Helvetica"/>
          <w:color w:val="878787"/>
          <w:sz w:val="22"/>
          <w:szCs w:val="22"/>
          <w:u w:color="2C5484"/>
        </w:rPr>
        <w:t xml:space="preserve">, </w:t>
      </w:r>
      <w:r>
        <w:rPr>
          <w:rFonts w:ascii="Helvetica" w:hAnsi="Helvetica" w:cs="Helvetica"/>
          <w:color w:val="2C5484"/>
          <w:sz w:val="22"/>
          <w:szCs w:val="22"/>
          <w:u w:val="single" w:color="2C5484"/>
        </w:rPr>
        <w:t>M.A. Thomas</w:t>
      </w:r>
      <w:r>
        <w:rPr>
          <w:rFonts w:ascii="Helvetica" w:hAnsi="Helvetica" w:cs="Helvetica"/>
          <w:color w:val="878787"/>
          <w:sz w:val="22"/>
          <w:szCs w:val="22"/>
          <w:u w:color="2C5484"/>
        </w:rPr>
        <w:t xml:space="preserve">, </w:t>
      </w:r>
      <w:r>
        <w:rPr>
          <w:rFonts w:ascii="Helvetica" w:hAnsi="Helvetica" w:cs="Helvetica"/>
          <w:color w:val="2C5484"/>
          <w:sz w:val="22"/>
          <w:szCs w:val="22"/>
          <w:u w:val="single" w:color="2C5484"/>
        </w:rPr>
        <w:t>R. Maxwell</w:t>
      </w:r>
      <w:r>
        <w:rPr>
          <w:rFonts w:ascii="Helvetica" w:hAnsi="Helvetica" w:cs="Helvetica"/>
          <w:color w:val="878787"/>
          <w:sz w:val="22"/>
          <w:szCs w:val="22"/>
          <w:u w:color="2C5484"/>
        </w:rPr>
        <w:t xml:space="preserve">, </w:t>
      </w:r>
      <w:r>
        <w:rPr>
          <w:rFonts w:ascii="Helvetica" w:hAnsi="Helvetica" w:cs="Helvetica"/>
          <w:color w:val="2C5484"/>
          <w:sz w:val="22"/>
          <w:szCs w:val="22"/>
          <w:u w:val="single" w:color="2C5484"/>
        </w:rPr>
        <w:t>S.-M. Ho</w:t>
      </w:r>
    </w:p>
    <w:p w:rsidR="00B67AB0" w:rsidRDefault="00B67AB0" w:rsidP="00B67AB0">
      <w:pPr>
        <w:widowControl w:val="0"/>
        <w:autoSpaceDE w:val="0"/>
        <w:autoSpaceDN w:val="0"/>
        <w:adjustRightInd w:val="0"/>
        <w:spacing w:after="200"/>
        <w:rPr>
          <w:rFonts w:ascii="Helvetica" w:hAnsi="Helvetica" w:cs="Helvetica"/>
          <w:color w:val="878787"/>
          <w:sz w:val="22"/>
          <w:szCs w:val="22"/>
          <w:u w:color="2C5484"/>
        </w:rPr>
      </w:pPr>
      <w:r>
        <w:rPr>
          <w:rFonts w:ascii="Helvetica" w:hAnsi="Helvetica" w:cs="Helvetica"/>
          <w:color w:val="878787"/>
          <w:sz w:val="22"/>
          <w:szCs w:val="22"/>
          <w:u w:color="2C5484"/>
        </w:rPr>
        <w:t>Obstetrics and Gynecology, University of Cincinnati, Cincinnati, OH; Environmental Health, University of Cincinnati, Cincinnati, OH</w:t>
      </w:r>
    </w:p>
    <w:p w:rsidR="00B67AB0" w:rsidRDefault="00B67AB0" w:rsidP="00B67AB0">
      <w:pPr>
        <w:widowControl w:val="0"/>
        <w:autoSpaceDE w:val="0"/>
        <w:autoSpaceDN w:val="0"/>
        <w:adjustRightInd w:val="0"/>
        <w:spacing w:after="200"/>
        <w:rPr>
          <w:rFonts w:ascii="Helvetica" w:hAnsi="Helvetica" w:cs="Helvetica"/>
          <w:color w:val="878787"/>
          <w:sz w:val="22"/>
          <w:szCs w:val="22"/>
          <w:u w:color="2C5484"/>
        </w:rPr>
      </w:pPr>
    </w:p>
    <w:p w:rsidR="00B67AB0" w:rsidRDefault="00B67AB0" w:rsidP="00B67AB0">
      <w:pPr>
        <w:widowControl w:val="0"/>
        <w:autoSpaceDE w:val="0"/>
        <w:autoSpaceDN w:val="0"/>
        <w:adjustRightInd w:val="0"/>
        <w:spacing w:after="200"/>
        <w:rPr>
          <w:rFonts w:ascii="Helvetica" w:hAnsi="Helvetica" w:cs="Helvetica"/>
          <w:color w:val="878787"/>
          <w:sz w:val="22"/>
          <w:szCs w:val="22"/>
          <w:u w:color="2C5484"/>
        </w:rPr>
      </w:pPr>
      <w:r>
        <w:rPr>
          <w:rFonts w:ascii="Helvetica" w:hAnsi="Helvetica" w:cs="Helvetica"/>
          <w:b/>
          <w:bCs/>
          <w:color w:val="878787"/>
          <w:sz w:val="22"/>
          <w:szCs w:val="22"/>
          <w:u w:color="2C5484"/>
        </w:rPr>
        <w:t>O-17</w:t>
      </w:r>
      <w:r>
        <w:rPr>
          <w:rFonts w:ascii="Helvetica" w:hAnsi="Helvetica" w:cs="Helvetica"/>
          <w:color w:val="878787"/>
          <w:sz w:val="22"/>
          <w:szCs w:val="22"/>
          <w:u w:color="2C5484"/>
        </w:rPr>
        <w:t xml:space="preserve"> Monday, October 17, 2011 04:30 PM</w:t>
      </w:r>
    </w:p>
    <w:p w:rsidR="00B67AB0" w:rsidRDefault="00B67AB0" w:rsidP="00B67AB0">
      <w:pPr>
        <w:widowControl w:val="0"/>
        <w:autoSpaceDE w:val="0"/>
        <w:autoSpaceDN w:val="0"/>
        <w:adjustRightInd w:val="0"/>
        <w:spacing w:after="60"/>
        <w:rPr>
          <w:rFonts w:ascii="Helvetica" w:hAnsi="Helvetica" w:cs="Helvetica"/>
          <w:b/>
          <w:bCs/>
          <w:color w:val="262626"/>
          <w:sz w:val="44"/>
          <w:szCs w:val="44"/>
          <w:u w:color="2C5484"/>
        </w:rPr>
      </w:pPr>
      <w:r>
        <w:rPr>
          <w:rFonts w:ascii="Helvetica" w:hAnsi="Helvetica" w:cs="Helvetica"/>
          <w:b/>
          <w:bCs/>
          <w:color w:val="262626"/>
          <w:sz w:val="44"/>
          <w:szCs w:val="44"/>
          <w:u w:color="2C5484"/>
        </w:rPr>
        <w:t>Objective </w:t>
      </w:r>
    </w:p>
    <w:p w:rsidR="00B67AB0" w:rsidRDefault="00B67AB0" w:rsidP="00B67AB0">
      <w:pPr>
        <w:widowControl w:val="0"/>
        <w:autoSpaceDE w:val="0"/>
        <w:autoSpaceDN w:val="0"/>
        <w:adjustRightInd w:val="0"/>
        <w:spacing w:after="200"/>
        <w:rPr>
          <w:rFonts w:ascii="Helvetica" w:hAnsi="Helvetica" w:cs="Helvetica"/>
          <w:color w:val="262626"/>
          <w:u w:color="2C5484"/>
        </w:rPr>
      </w:pPr>
      <w:r>
        <w:rPr>
          <w:rFonts w:ascii="Helvetica" w:hAnsi="Helvetica" w:cs="Helvetica"/>
          <w:color w:val="262626"/>
          <w:u w:color="2C5484"/>
        </w:rPr>
        <w:t xml:space="preserve">BPA is associated with disruptive effects on spermatogenesis and reproductive </w:t>
      </w:r>
      <w:proofErr w:type="gramStart"/>
      <w:r>
        <w:rPr>
          <w:rFonts w:ascii="Helvetica" w:hAnsi="Helvetica" w:cs="Helvetica"/>
          <w:color w:val="262626"/>
          <w:u w:color="2C5484"/>
        </w:rPr>
        <w:t>organ</w:t>
      </w:r>
      <w:proofErr w:type="gramEnd"/>
      <w:r>
        <w:rPr>
          <w:rFonts w:ascii="Helvetica" w:hAnsi="Helvetica" w:cs="Helvetica"/>
          <w:color w:val="262626"/>
          <w:u w:color="2C5484"/>
        </w:rPr>
        <w:t xml:space="preserve"> development in animals, but studies on direct effects of BPA on human sperm function are lacking. We previously reported increased sperm total motility and rapid progression in response to estrogenic compounds and aimed to investigate the in vitro effects on sperm DNA fragmentation induced by BPA and 17β-estradiol (E).</w:t>
      </w:r>
    </w:p>
    <w:p w:rsidR="00B67AB0" w:rsidRDefault="00B67AB0" w:rsidP="00B67AB0">
      <w:pPr>
        <w:widowControl w:val="0"/>
        <w:autoSpaceDE w:val="0"/>
        <w:autoSpaceDN w:val="0"/>
        <w:adjustRightInd w:val="0"/>
        <w:spacing w:after="60"/>
        <w:rPr>
          <w:rFonts w:ascii="Helvetica" w:hAnsi="Helvetica" w:cs="Helvetica"/>
          <w:b/>
          <w:bCs/>
          <w:color w:val="262626"/>
          <w:sz w:val="44"/>
          <w:szCs w:val="44"/>
          <w:u w:color="2C5484"/>
        </w:rPr>
      </w:pPr>
      <w:r>
        <w:rPr>
          <w:rFonts w:ascii="Helvetica" w:hAnsi="Helvetica" w:cs="Helvetica"/>
          <w:b/>
          <w:bCs/>
          <w:color w:val="262626"/>
          <w:sz w:val="44"/>
          <w:szCs w:val="44"/>
          <w:u w:color="2C5484"/>
        </w:rPr>
        <w:t>Design </w:t>
      </w:r>
    </w:p>
    <w:p w:rsidR="00B67AB0" w:rsidRDefault="00B67AB0" w:rsidP="00B67AB0">
      <w:pPr>
        <w:widowControl w:val="0"/>
        <w:autoSpaceDE w:val="0"/>
        <w:autoSpaceDN w:val="0"/>
        <w:adjustRightInd w:val="0"/>
        <w:spacing w:after="200"/>
        <w:rPr>
          <w:rFonts w:ascii="Helvetica" w:hAnsi="Helvetica" w:cs="Helvetica"/>
          <w:color w:val="262626"/>
          <w:u w:color="2C5484"/>
        </w:rPr>
      </w:pPr>
      <w:proofErr w:type="gramStart"/>
      <w:r>
        <w:rPr>
          <w:rFonts w:ascii="Helvetica" w:hAnsi="Helvetica" w:cs="Helvetica"/>
          <w:color w:val="262626"/>
          <w:u w:color="2C5484"/>
        </w:rPr>
        <w:t>Prospective Controlled Study.</w:t>
      </w:r>
      <w:proofErr w:type="gramEnd"/>
    </w:p>
    <w:p w:rsidR="00B67AB0" w:rsidRDefault="00B67AB0" w:rsidP="00B67AB0">
      <w:pPr>
        <w:widowControl w:val="0"/>
        <w:autoSpaceDE w:val="0"/>
        <w:autoSpaceDN w:val="0"/>
        <w:adjustRightInd w:val="0"/>
        <w:spacing w:after="60"/>
        <w:rPr>
          <w:rFonts w:ascii="Helvetica" w:hAnsi="Helvetica" w:cs="Helvetica"/>
          <w:b/>
          <w:bCs/>
          <w:color w:val="262626"/>
          <w:sz w:val="44"/>
          <w:szCs w:val="44"/>
          <w:u w:color="2C5484"/>
        </w:rPr>
      </w:pPr>
      <w:r>
        <w:rPr>
          <w:rFonts w:ascii="Helvetica" w:hAnsi="Helvetica" w:cs="Helvetica"/>
          <w:b/>
          <w:bCs/>
          <w:color w:val="262626"/>
          <w:sz w:val="44"/>
          <w:szCs w:val="44"/>
          <w:u w:color="2C5484"/>
        </w:rPr>
        <w:t>Materials and Methods </w:t>
      </w:r>
    </w:p>
    <w:p w:rsidR="00B67AB0" w:rsidRDefault="00B67AB0" w:rsidP="00B67AB0">
      <w:pPr>
        <w:widowControl w:val="0"/>
        <w:autoSpaceDE w:val="0"/>
        <w:autoSpaceDN w:val="0"/>
        <w:adjustRightInd w:val="0"/>
        <w:spacing w:after="200"/>
        <w:rPr>
          <w:rFonts w:ascii="Helvetica" w:hAnsi="Helvetica" w:cs="Helvetica"/>
          <w:color w:val="262626"/>
          <w:u w:color="2C5484"/>
        </w:rPr>
      </w:pPr>
      <w:r>
        <w:rPr>
          <w:rFonts w:ascii="Helvetica" w:hAnsi="Helvetica" w:cs="Helvetica"/>
          <w:color w:val="262626"/>
          <w:u w:color="2C5484"/>
        </w:rPr>
        <w:t xml:space="preserve">Samples were collected from men undergoing semen evaluation (n = 27; 21 with normal and 6 with abnormal semen parameters). Washed sperm </w:t>
      </w:r>
      <w:proofErr w:type="spellStart"/>
      <w:r>
        <w:rPr>
          <w:rFonts w:ascii="Helvetica" w:hAnsi="Helvetica" w:cs="Helvetica"/>
          <w:color w:val="262626"/>
          <w:u w:color="2C5484"/>
        </w:rPr>
        <w:t>resuspended</w:t>
      </w:r>
      <w:proofErr w:type="spellEnd"/>
      <w:r>
        <w:rPr>
          <w:rFonts w:ascii="Helvetica" w:hAnsi="Helvetica" w:cs="Helvetica"/>
          <w:color w:val="262626"/>
          <w:u w:color="2C5484"/>
        </w:rPr>
        <w:t xml:space="preserve"> in HTF+10% SSS was incubated </w:t>
      </w:r>
      <w:proofErr w:type="gramStart"/>
      <w:r>
        <w:rPr>
          <w:rFonts w:ascii="Helvetica" w:hAnsi="Helvetica" w:cs="Helvetica"/>
          <w:color w:val="262626"/>
          <w:u w:color="2C5484"/>
        </w:rPr>
        <w:t>with either</w:t>
      </w:r>
      <w:proofErr w:type="gramEnd"/>
      <w:r>
        <w:rPr>
          <w:rFonts w:ascii="Helvetica" w:hAnsi="Helvetica" w:cs="Helvetica"/>
          <w:color w:val="262626"/>
          <w:u w:color="2C5484"/>
        </w:rPr>
        <w:t xml:space="preserve"> 1nM E, 1μM or 10 </w:t>
      </w:r>
      <w:proofErr w:type="spellStart"/>
      <w:r>
        <w:rPr>
          <w:rFonts w:ascii="Helvetica" w:hAnsi="Helvetica" w:cs="Helvetica"/>
          <w:color w:val="262626"/>
          <w:u w:color="2C5484"/>
        </w:rPr>
        <w:t>nM</w:t>
      </w:r>
      <w:proofErr w:type="spellEnd"/>
      <w:r>
        <w:rPr>
          <w:rFonts w:ascii="Helvetica" w:hAnsi="Helvetica" w:cs="Helvetica"/>
          <w:color w:val="262626"/>
          <w:u w:color="2C5484"/>
        </w:rPr>
        <w:t xml:space="preserve"> of BPA (B1, B2). Sperm DNA fragmentation was measured by the alkaline comet assay. Comet length (CL), %DNA in tail (T%), and tail moment (TM) were assessed using </w:t>
      </w:r>
      <w:proofErr w:type="spellStart"/>
      <w:r>
        <w:rPr>
          <w:rFonts w:ascii="Helvetica" w:hAnsi="Helvetica" w:cs="Helvetica"/>
          <w:color w:val="262626"/>
          <w:u w:color="2C5484"/>
        </w:rPr>
        <w:t>CometScore</w:t>
      </w:r>
      <w:proofErr w:type="spellEnd"/>
      <w:r>
        <w:rPr>
          <w:rFonts w:ascii="Helvetica" w:hAnsi="Helvetica" w:cs="Helvetica"/>
          <w:color w:val="262626"/>
          <w:u w:color="2C5484"/>
        </w:rPr>
        <w:t xml:space="preserve"> software and compared to vehicle control (C) at 24 hours after initial exposure. Data was analyzed using repeated measures ANOVA and paired t-tests.</w:t>
      </w:r>
    </w:p>
    <w:p w:rsidR="00B67AB0" w:rsidRDefault="00B67AB0" w:rsidP="00B67AB0">
      <w:pPr>
        <w:widowControl w:val="0"/>
        <w:autoSpaceDE w:val="0"/>
        <w:autoSpaceDN w:val="0"/>
        <w:adjustRightInd w:val="0"/>
        <w:spacing w:after="60"/>
        <w:rPr>
          <w:rFonts w:ascii="Helvetica" w:hAnsi="Helvetica" w:cs="Helvetica"/>
          <w:b/>
          <w:bCs/>
          <w:color w:val="262626"/>
          <w:sz w:val="44"/>
          <w:szCs w:val="44"/>
          <w:u w:color="2C5484"/>
        </w:rPr>
      </w:pPr>
      <w:r>
        <w:rPr>
          <w:rFonts w:ascii="Helvetica" w:hAnsi="Helvetica" w:cs="Helvetica"/>
          <w:b/>
          <w:bCs/>
          <w:color w:val="262626"/>
          <w:sz w:val="44"/>
          <w:szCs w:val="44"/>
          <w:u w:color="2C5484"/>
        </w:rPr>
        <w:t>Results </w:t>
      </w:r>
    </w:p>
    <w:p w:rsidR="00B67AB0" w:rsidRDefault="00B67AB0" w:rsidP="00B67AB0">
      <w:pPr>
        <w:widowControl w:val="0"/>
        <w:autoSpaceDE w:val="0"/>
        <w:autoSpaceDN w:val="0"/>
        <w:adjustRightInd w:val="0"/>
        <w:spacing w:after="200"/>
        <w:rPr>
          <w:rFonts w:ascii="Helvetica" w:hAnsi="Helvetica" w:cs="Helvetica"/>
          <w:color w:val="262626"/>
          <w:u w:color="2C5484"/>
        </w:rPr>
      </w:pPr>
      <w:r>
        <w:rPr>
          <w:rFonts w:ascii="Helvetica" w:hAnsi="Helvetica" w:cs="Helvetica"/>
          <w:color w:val="262626"/>
          <w:u w:color="2C5484"/>
        </w:rPr>
        <w:t xml:space="preserve">The samples had a mean ± SD sperm count of 73.0 ± 44.3 mil/mL, motility of </w:t>
      </w:r>
      <w:r>
        <w:rPr>
          <w:rFonts w:ascii="Helvetica" w:hAnsi="Helvetica" w:cs="Helvetica"/>
          <w:color w:val="262626"/>
          <w:u w:color="2C5484"/>
        </w:rPr>
        <w:lastRenderedPageBreak/>
        <w:t>64.5 ± 9.0%, and normal morphology of 8.6 ± 5.5%. E and both concentrations of BPA significantly increased sperm DNA fragmentation with increased CL (</w:t>
      </w:r>
      <w:r>
        <w:rPr>
          <w:rFonts w:ascii="Helvetica" w:hAnsi="Helvetica" w:cs="Helvetica"/>
          <w:i/>
          <w:iCs/>
          <w:color w:val="262626"/>
          <w:u w:color="2C5484"/>
        </w:rPr>
        <w:t>P</w:t>
      </w:r>
      <w:r>
        <w:rPr>
          <w:rFonts w:ascii="Helvetica" w:hAnsi="Helvetica" w:cs="Helvetica"/>
          <w:color w:val="262626"/>
          <w:u w:color="2C5484"/>
        </w:rPr>
        <w:t>&lt;0.001) and increased TM (</w:t>
      </w:r>
      <w:r>
        <w:rPr>
          <w:rFonts w:ascii="Helvetica" w:hAnsi="Helvetica" w:cs="Helvetica"/>
          <w:i/>
          <w:iCs/>
          <w:color w:val="262626"/>
          <w:u w:color="2C5484"/>
        </w:rPr>
        <w:t>P</w:t>
      </w:r>
      <w:r>
        <w:rPr>
          <w:rFonts w:ascii="Helvetica" w:hAnsi="Helvetica" w:cs="Helvetica"/>
          <w:color w:val="262626"/>
          <w:u w:color="2C5484"/>
        </w:rPr>
        <w:t>=0.001). Mean CL was 95.1 ± 12.2px for C, compared with 106.6 ± 12.5px for E (</w:t>
      </w:r>
      <w:r>
        <w:rPr>
          <w:rFonts w:ascii="Helvetica" w:hAnsi="Helvetica" w:cs="Helvetica"/>
          <w:i/>
          <w:iCs/>
          <w:color w:val="262626"/>
          <w:u w:color="2C5484"/>
        </w:rPr>
        <w:t>P</w:t>
      </w:r>
      <w:r>
        <w:rPr>
          <w:rFonts w:ascii="Helvetica" w:hAnsi="Helvetica" w:cs="Helvetica"/>
          <w:color w:val="262626"/>
          <w:u w:color="2C5484"/>
        </w:rPr>
        <w:t>&lt;0.001), 105.9 ± 15.0px for B1 (</w:t>
      </w:r>
      <w:r>
        <w:rPr>
          <w:rFonts w:ascii="Helvetica" w:hAnsi="Helvetica" w:cs="Helvetica"/>
          <w:i/>
          <w:iCs/>
          <w:color w:val="262626"/>
          <w:u w:color="2C5484"/>
        </w:rPr>
        <w:t>P</w:t>
      </w:r>
      <w:r>
        <w:rPr>
          <w:rFonts w:ascii="Helvetica" w:hAnsi="Helvetica" w:cs="Helvetica"/>
          <w:color w:val="262626"/>
          <w:u w:color="2C5484"/>
        </w:rPr>
        <w:t>&lt;0.001), and 105.4 ± 14.1px for B2 (</w:t>
      </w:r>
      <w:r>
        <w:rPr>
          <w:rFonts w:ascii="Helvetica" w:hAnsi="Helvetica" w:cs="Helvetica"/>
          <w:i/>
          <w:iCs/>
          <w:color w:val="262626"/>
          <w:u w:color="2C5484"/>
        </w:rPr>
        <w:t>P</w:t>
      </w:r>
      <w:r>
        <w:rPr>
          <w:rFonts w:ascii="Helvetica" w:hAnsi="Helvetica" w:cs="Helvetica"/>
          <w:color w:val="262626"/>
          <w:u w:color="2C5484"/>
        </w:rPr>
        <w:t>=0.001). Mean TM was 64.7 ± 19.5px for C, compared with 74.8 ± 20.8px for E (</w:t>
      </w:r>
      <w:r>
        <w:rPr>
          <w:rFonts w:ascii="Helvetica" w:hAnsi="Helvetica" w:cs="Helvetica"/>
          <w:i/>
          <w:iCs/>
          <w:color w:val="262626"/>
          <w:u w:color="2C5484"/>
        </w:rPr>
        <w:t>P</w:t>
      </w:r>
      <w:r>
        <w:rPr>
          <w:rFonts w:ascii="Helvetica" w:hAnsi="Helvetica" w:cs="Helvetica"/>
          <w:color w:val="262626"/>
          <w:u w:color="2C5484"/>
        </w:rPr>
        <w:t>&lt;0.001), 74.3 ± 19.5px for B1 (</w:t>
      </w:r>
      <w:r>
        <w:rPr>
          <w:rFonts w:ascii="Helvetica" w:hAnsi="Helvetica" w:cs="Helvetica"/>
          <w:i/>
          <w:iCs/>
          <w:color w:val="262626"/>
          <w:u w:color="2C5484"/>
        </w:rPr>
        <w:t>P</w:t>
      </w:r>
      <w:r>
        <w:rPr>
          <w:rFonts w:ascii="Helvetica" w:hAnsi="Helvetica" w:cs="Helvetica"/>
          <w:color w:val="262626"/>
          <w:u w:color="2C5484"/>
        </w:rPr>
        <w:t>&lt;0.001), and 75.5 ± 17.0px for B2 (</w:t>
      </w:r>
      <w:r>
        <w:rPr>
          <w:rFonts w:ascii="Helvetica" w:hAnsi="Helvetica" w:cs="Helvetica"/>
          <w:i/>
          <w:iCs/>
          <w:color w:val="262626"/>
          <w:u w:color="2C5484"/>
        </w:rPr>
        <w:t>P</w:t>
      </w:r>
      <w:r>
        <w:rPr>
          <w:rFonts w:ascii="Helvetica" w:hAnsi="Helvetica" w:cs="Helvetica"/>
          <w:color w:val="262626"/>
          <w:u w:color="2C5484"/>
        </w:rPr>
        <w:t>=0.003). T% did not differ between the 4 arms (</w:t>
      </w:r>
      <w:r>
        <w:rPr>
          <w:rFonts w:ascii="Helvetica" w:hAnsi="Helvetica" w:cs="Helvetica"/>
          <w:i/>
          <w:iCs/>
          <w:color w:val="262626"/>
          <w:u w:color="2C5484"/>
        </w:rPr>
        <w:t>P</w:t>
      </w:r>
      <w:r>
        <w:rPr>
          <w:rFonts w:ascii="Helvetica" w:hAnsi="Helvetica" w:cs="Helvetica"/>
          <w:color w:val="262626"/>
          <w:u w:color="2C5484"/>
        </w:rPr>
        <w:t xml:space="preserve">=0.88). The effects on CL and TM persisted after differentiating samples by normal </w:t>
      </w:r>
      <w:proofErr w:type="spellStart"/>
      <w:r>
        <w:rPr>
          <w:rFonts w:ascii="Helvetica" w:hAnsi="Helvetica" w:cs="Helvetica"/>
          <w:color w:val="262626"/>
          <w:u w:color="2C5484"/>
        </w:rPr>
        <w:t>vs</w:t>
      </w:r>
      <w:proofErr w:type="spellEnd"/>
      <w:r>
        <w:rPr>
          <w:rFonts w:ascii="Helvetica" w:hAnsi="Helvetica" w:cs="Helvetica"/>
          <w:color w:val="262626"/>
          <w:u w:color="2C5484"/>
        </w:rPr>
        <w:t xml:space="preserve"> abnormal semen parameters (</w:t>
      </w:r>
      <w:r>
        <w:rPr>
          <w:rFonts w:ascii="Helvetica" w:hAnsi="Helvetica" w:cs="Helvetica"/>
          <w:i/>
          <w:iCs/>
          <w:color w:val="262626"/>
          <w:u w:color="2C5484"/>
        </w:rPr>
        <w:t>P</w:t>
      </w:r>
      <w:r>
        <w:rPr>
          <w:rFonts w:ascii="Helvetica" w:hAnsi="Helvetica" w:cs="Helvetica"/>
          <w:color w:val="262626"/>
          <w:u w:color="2C5484"/>
        </w:rPr>
        <w:t xml:space="preserve">=0.6; </w:t>
      </w:r>
      <w:r>
        <w:rPr>
          <w:rFonts w:ascii="Helvetica" w:hAnsi="Helvetica" w:cs="Helvetica"/>
          <w:i/>
          <w:iCs/>
          <w:color w:val="262626"/>
          <w:u w:color="2C5484"/>
        </w:rPr>
        <w:t>P</w:t>
      </w:r>
      <w:r>
        <w:rPr>
          <w:rFonts w:ascii="Helvetica" w:hAnsi="Helvetica" w:cs="Helvetica"/>
          <w:color w:val="262626"/>
          <w:u w:color="2C5484"/>
        </w:rPr>
        <w:t>=0.8).</w:t>
      </w:r>
    </w:p>
    <w:p w:rsidR="00B67AB0" w:rsidRDefault="00B67AB0" w:rsidP="00B67AB0">
      <w:pPr>
        <w:widowControl w:val="0"/>
        <w:autoSpaceDE w:val="0"/>
        <w:autoSpaceDN w:val="0"/>
        <w:adjustRightInd w:val="0"/>
        <w:spacing w:after="60"/>
        <w:rPr>
          <w:rFonts w:ascii="Helvetica" w:hAnsi="Helvetica" w:cs="Helvetica"/>
          <w:b/>
          <w:bCs/>
          <w:color w:val="262626"/>
          <w:sz w:val="44"/>
          <w:szCs w:val="44"/>
          <w:u w:color="2C5484"/>
        </w:rPr>
      </w:pPr>
      <w:r>
        <w:rPr>
          <w:rFonts w:ascii="Helvetica" w:hAnsi="Helvetica" w:cs="Helvetica"/>
          <w:b/>
          <w:bCs/>
          <w:color w:val="262626"/>
          <w:sz w:val="44"/>
          <w:szCs w:val="44"/>
          <w:u w:color="2C5484"/>
        </w:rPr>
        <w:t>Conclusion </w:t>
      </w:r>
    </w:p>
    <w:p w:rsidR="00B67AB0" w:rsidRDefault="00B67AB0" w:rsidP="00B67AB0">
      <w:pPr>
        <w:widowControl w:val="0"/>
        <w:autoSpaceDE w:val="0"/>
        <w:autoSpaceDN w:val="0"/>
        <w:adjustRightInd w:val="0"/>
        <w:spacing w:after="200"/>
        <w:rPr>
          <w:rFonts w:ascii="Helvetica" w:hAnsi="Helvetica" w:cs="Helvetica"/>
          <w:color w:val="262626"/>
          <w:u w:color="2C5484"/>
        </w:rPr>
      </w:pPr>
      <w:r>
        <w:rPr>
          <w:rFonts w:ascii="Helvetica" w:hAnsi="Helvetica" w:cs="Helvetica"/>
          <w:color w:val="262626"/>
          <w:u w:color="2C5484"/>
        </w:rPr>
        <w:t xml:space="preserve">This is the first study to show evidence of direct </w:t>
      </w:r>
      <w:proofErr w:type="spellStart"/>
      <w:r>
        <w:rPr>
          <w:rFonts w:ascii="Helvetica" w:hAnsi="Helvetica" w:cs="Helvetica"/>
          <w:color w:val="262626"/>
          <w:u w:color="2C5484"/>
        </w:rPr>
        <w:t>genotoxity</w:t>
      </w:r>
      <w:proofErr w:type="spellEnd"/>
      <w:r>
        <w:rPr>
          <w:rFonts w:ascii="Helvetica" w:hAnsi="Helvetica" w:cs="Helvetica"/>
          <w:color w:val="262626"/>
          <w:u w:color="2C5484"/>
        </w:rPr>
        <w:t xml:space="preserve"> to sperm from BPA exposure in vitro. The significant increase in sperm DNA fragmentation favoring double-strand breaks caused by BPA mimic effects of E, and may allow for future studies examining the direct mechanisms of these toxic effects.</w:t>
      </w:r>
    </w:p>
    <w:p w:rsidR="00B67AB0" w:rsidRDefault="00B67AB0" w:rsidP="00B67AB0">
      <w:pPr>
        <w:widowControl w:val="0"/>
        <w:autoSpaceDE w:val="0"/>
        <w:autoSpaceDN w:val="0"/>
        <w:adjustRightInd w:val="0"/>
        <w:spacing w:after="200"/>
        <w:rPr>
          <w:rFonts w:ascii="Helvetica" w:hAnsi="Helvetica" w:cs="Helvetica"/>
          <w:color w:val="262626"/>
          <w:u w:color="2C5484"/>
        </w:rPr>
      </w:pPr>
    </w:p>
    <w:p w:rsidR="00075989" w:rsidRDefault="00075989"/>
    <w:sectPr w:rsidR="00075989" w:rsidSect="003D7C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B0"/>
    <w:rsid w:val="00075989"/>
    <w:rsid w:val="00B6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D4B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2166</Characters>
  <Application>Microsoft Macintosh Word</Application>
  <DocSecurity>0</DocSecurity>
  <Lines>18</Lines>
  <Paragraphs>5</Paragraphs>
  <ScaleCrop>false</ScaleCrop>
  <Company>Fertile Turtle Acupuncture</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wilson</dc:creator>
  <cp:keywords/>
  <dc:description/>
  <cp:lastModifiedBy>Lori wilson</cp:lastModifiedBy>
  <cp:revision>1</cp:revision>
  <dcterms:created xsi:type="dcterms:W3CDTF">2012-05-11T03:56:00Z</dcterms:created>
  <dcterms:modified xsi:type="dcterms:W3CDTF">2012-05-11T03:59:00Z</dcterms:modified>
</cp:coreProperties>
</file>